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8981" w14:textId="57EA8FB4" w:rsidR="004C2938" w:rsidRDefault="004C2938" w:rsidP="004C29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>
        <w:rPr>
          <w:b/>
        </w:rPr>
        <w:t>P</w:t>
      </w:r>
      <w:r w:rsidRPr="00700F99">
        <w:rPr>
          <w:b/>
        </w:rPr>
        <w:t xml:space="preserve">ŘÍLOHA </w:t>
      </w:r>
      <w:r w:rsidR="00B23AF3">
        <w:rPr>
          <w:b/>
        </w:rPr>
        <w:t>č. 5</w:t>
      </w:r>
      <w:r>
        <w:rPr>
          <w:b/>
        </w:rPr>
        <w:t xml:space="preserve"> </w:t>
      </w:r>
      <w:r w:rsidRPr="00700F99">
        <w:rPr>
          <w:b/>
        </w:rPr>
        <w:t xml:space="preserve">– </w:t>
      </w:r>
      <w:r>
        <w:rPr>
          <w:b/>
        </w:rPr>
        <w:t xml:space="preserve">TECHNICKÁ </w:t>
      </w:r>
      <w:r w:rsidRPr="00700F99">
        <w:rPr>
          <w:b/>
        </w:rPr>
        <w:t>SPECIFIKACE SLUŽEB</w:t>
      </w:r>
    </w:p>
    <w:p w14:paraId="7A4A0695" w14:textId="77777777" w:rsidR="004C2938" w:rsidRDefault="004C2938" w:rsidP="004C2938">
      <w:pPr>
        <w:jc w:val="both"/>
      </w:pPr>
      <w:r>
        <w:t>Podpora SW licencí a souvisejícího HW komunikační platformy Cisco.</w:t>
      </w:r>
    </w:p>
    <w:p w14:paraId="04EB717A" w14:textId="5C97C5A1" w:rsidR="004C2938" w:rsidRDefault="004C2938" w:rsidP="004C2938">
      <w:pPr>
        <w:jc w:val="both"/>
      </w:pPr>
      <w:r>
        <w:t xml:space="preserve">Podpora musí </w:t>
      </w:r>
      <w:r w:rsidRPr="001C75EF">
        <w:t xml:space="preserve">zajistit </w:t>
      </w:r>
      <w:r>
        <w:t xml:space="preserve">pokračující </w:t>
      </w:r>
      <w:r w:rsidRPr="001C75EF">
        <w:t xml:space="preserve">provoz služby pro </w:t>
      </w:r>
      <w:r>
        <w:t xml:space="preserve">všechny zaměstnance společnosti Český rozhlas, kdy každý zaměstnanec musí využívat </w:t>
      </w:r>
      <w:r w:rsidR="00280986">
        <w:t xml:space="preserve">plně </w:t>
      </w:r>
      <w:r>
        <w:t xml:space="preserve">funkcionalit platformy </w:t>
      </w:r>
      <w:r w:rsidRPr="00426C41">
        <w:t xml:space="preserve">Cisco </w:t>
      </w:r>
      <w:proofErr w:type="spellStart"/>
      <w:r w:rsidRPr="00426C41">
        <w:t>Unified</w:t>
      </w:r>
      <w:proofErr w:type="spellEnd"/>
      <w:r w:rsidRPr="00426C41">
        <w:t xml:space="preserve"> Communications </w:t>
      </w:r>
      <w:proofErr w:type="spellStart"/>
      <w:r w:rsidRPr="00426C41">
        <w:t>Manager</w:t>
      </w:r>
      <w:proofErr w:type="spellEnd"/>
      <w:r>
        <w:t>.</w:t>
      </w:r>
    </w:p>
    <w:p w14:paraId="576D05CC" w14:textId="77777777" w:rsidR="00280986" w:rsidRDefault="00280986" w:rsidP="004C2938">
      <w:pPr>
        <w:jc w:val="both"/>
      </w:pPr>
    </w:p>
    <w:p w14:paraId="0C8450F5" w14:textId="77777777" w:rsidR="004C2938" w:rsidRDefault="004C2938" w:rsidP="004C2938">
      <w:pPr>
        <w:jc w:val="both"/>
      </w:pPr>
      <w:r>
        <w:t xml:space="preserve">Zadavatel požaduje pokrýt licencemi jak IP telefonní systém společnosti, který je nyní provozován na platformě Cisco UCM, tak </w:t>
      </w:r>
      <w:r w:rsidRPr="00111C29">
        <w:t xml:space="preserve">licenční požadavky na schůzky, komunikaci přes zprávy v rámci platformy </w:t>
      </w:r>
      <w:proofErr w:type="spellStart"/>
      <w:r w:rsidRPr="00111C29">
        <w:t>Webex</w:t>
      </w:r>
      <w:proofErr w:type="spellEnd"/>
      <w:r w:rsidR="00280986">
        <w:t>,</w:t>
      </w:r>
      <w:r w:rsidRPr="00111C29">
        <w:t xml:space="preserve"> tak také stávající videokonferenční jednotky (to jak v </w:t>
      </w:r>
      <w:proofErr w:type="spellStart"/>
      <w:r w:rsidRPr="00111C29">
        <w:t>cloudovém</w:t>
      </w:r>
      <w:proofErr w:type="spellEnd"/>
      <w:r w:rsidRPr="00111C29">
        <w:t>, tak on-premise režimu).</w:t>
      </w:r>
    </w:p>
    <w:p w14:paraId="4B22856B" w14:textId="77777777" w:rsidR="00280986" w:rsidRDefault="00280986" w:rsidP="004C2938">
      <w:pPr>
        <w:jc w:val="both"/>
      </w:pPr>
    </w:p>
    <w:p w14:paraId="06653F7A" w14:textId="77777777" w:rsidR="004C2938" w:rsidRPr="001C75EF" w:rsidRDefault="004C2938" w:rsidP="004C2938">
      <w:pPr>
        <w:jc w:val="both"/>
      </w:pPr>
      <w:r>
        <w:t xml:space="preserve">Zadavatel dále požaduje podporu nahrávání hovorů </w:t>
      </w:r>
      <w:proofErr w:type="spellStart"/>
      <w:r>
        <w:t>Eleveo</w:t>
      </w:r>
      <w:proofErr w:type="spellEnd"/>
      <w:r>
        <w:t xml:space="preserve"> (ZOOM).</w:t>
      </w:r>
    </w:p>
    <w:p w14:paraId="7540EA7B" w14:textId="77777777" w:rsidR="004C2938" w:rsidRDefault="004C2938" w:rsidP="004C2938">
      <w:pPr>
        <w:pStyle w:val="SubjectSpecification-ContractCzechRadio"/>
        <w:jc w:val="both"/>
        <w:rPr>
          <w:b/>
          <w:color w:val="auto"/>
        </w:rPr>
      </w:pPr>
    </w:p>
    <w:p w14:paraId="5670759B" w14:textId="77777777" w:rsidR="004C2938" w:rsidRPr="00FB2F7B" w:rsidRDefault="004C2938" w:rsidP="004C2938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požadavků: </w:t>
      </w:r>
    </w:p>
    <w:p w14:paraId="335C9E24" w14:textId="77777777" w:rsidR="004C2938" w:rsidRPr="00FB2F7B" w:rsidRDefault="004C2938" w:rsidP="004C2938">
      <w:pPr>
        <w:pStyle w:val="SubjectSpecification-ContractCzechRadio"/>
        <w:jc w:val="both"/>
        <w:rPr>
          <w:b/>
          <w:color w:val="auto"/>
        </w:rPr>
      </w:pPr>
    </w:p>
    <w:p w14:paraId="032B94F6" w14:textId="195C5CAE" w:rsidR="004C2938" w:rsidRPr="00FB2F7B" w:rsidRDefault="004C2938" w:rsidP="00850DAB">
      <w:pPr>
        <w:pStyle w:val="ListLetter-ContractCzechRadio"/>
        <w:numPr>
          <w:ilvl w:val="0"/>
          <w:numId w:val="0"/>
        </w:numPr>
        <w:jc w:val="both"/>
      </w:pPr>
      <w:r w:rsidRPr="00FB2F7B">
        <w:t xml:space="preserve">telefonicky na </w:t>
      </w:r>
      <w:proofErr w:type="spellStart"/>
      <w:r w:rsidRPr="00FB2F7B">
        <w:t>servicedesk</w:t>
      </w:r>
      <w:proofErr w:type="spellEnd"/>
      <w:r w:rsidRPr="00FB2F7B">
        <w:t xml:space="preserve"> </w:t>
      </w:r>
      <w:r w:rsidR="00280986">
        <w:t>dodavatele</w:t>
      </w:r>
      <w:r w:rsidR="00E96A95">
        <w:t xml:space="preserve"> na</w:t>
      </w:r>
      <w:r w:rsidR="00280986" w:rsidRPr="00FB2F7B">
        <w:t xml:space="preserve"> </w:t>
      </w:r>
      <w:r w:rsidRPr="00FB2F7B">
        <w:t>tel. č. [</w:t>
      </w:r>
      <w:r w:rsidRPr="00FB2F7B">
        <w:rPr>
          <w:b/>
          <w:highlight w:val="yellow"/>
        </w:rPr>
        <w:t>DOPLNIT</w:t>
      </w:r>
      <w:r w:rsidRPr="00FB2F7B">
        <w:t>] nebo e-mailem [</w:t>
      </w:r>
      <w:r w:rsidRPr="00FB2F7B">
        <w:rPr>
          <w:b/>
          <w:highlight w:val="yellow"/>
        </w:rPr>
        <w:t>DOPLNIT</w:t>
      </w:r>
      <w:r w:rsidRPr="00FB2F7B">
        <w:t xml:space="preserve">]. </w:t>
      </w:r>
    </w:p>
    <w:p w14:paraId="434A72B7" w14:textId="6F70E285" w:rsidR="004F5313" w:rsidRDefault="00850DAB" w:rsidP="004F531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  <w:r>
        <w:t xml:space="preserve">Dodavatel </w:t>
      </w:r>
      <w:r w:rsidR="004F5313">
        <w:t xml:space="preserve">bude poskytovat technickou podporu systému v rozsahu 5x8, tj. 8 hodin (od 9:00 do 17:00 hod.) pět dní v týdnu (pondělí až pátek) k nahlášeným závadám, a to prostřednictvím telefonní servisní linky nebo prostřednictvím emailové adrese </w:t>
      </w:r>
      <w:r>
        <w:t>dodavatele</w:t>
      </w:r>
      <w:r w:rsidR="004F5313">
        <w:t>.</w:t>
      </w:r>
    </w:p>
    <w:p w14:paraId="1A1FAC6D" w14:textId="041D285C" w:rsidR="004F5313" w:rsidRDefault="004F5313" w:rsidP="004F531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  <w:r>
        <w:t xml:space="preserve">V případě nahlášení výskytu závady </w:t>
      </w:r>
      <w:proofErr w:type="spellStart"/>
      <w:r>
        <w:t>o</w:t>
      </w:r>
      <w:r w:rsidR="00850DAB">
        <w:t>zadavatelem</w:t>
      </w:r>
      <w:proofErr w:type="spellEnd"/>
      <w:r>
        <w:t xml:space="preserve"> bez ohledu na to, jakým ze způsobů bude závada nahlášena, je </w:t>
      </w:r>
      <w:r w:rsidR="00850DAB">
        <w:t>dodavatel</w:t>
      </w:r>
      <w:r>
        <w:t xml:space="preserve"> povinen </w:t>
      </w:r>
      <w:r w:rsidR="00850DAB">
        <w:t xml:space="preserve">zadavateli </w:t>
      </w:r>
      <w:r>
        <w:t xml:space="preserve">písemně potvrdit obdržení takového hlášení v odpovídající lhůtě dle stupně priority závady dle tabulky níže. V téže lhůtě je poskytovatel povinen se začít zabývat odstraňováním závady. Součástí potvrzení obdržení hlášení o závadě od </w:t>
      </w:r>
      <w:r w:rsidR="00850DAB">
        <w:t>zadavatel</w:t>
      </w:r>
      <w:r>
        <w:t xml:space="preserve">e bude i odhad doby potřebné k odstranění závady, přičemž </w:t>
      </w:r>
      <w:r w:rsidR="00850DAB">
        <w:t>dodavatel</w:t>
      </w:r>
      <w:r>
        <w:t xml:space="preserve"> je povinen dodržovat lhůty doby pro odstranění závady dle tabulky níže. 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409"/>
        <w:gridCol w:w="3119"/>
        <w:gridCol w:w="1276"/>
      </w:tblGrid>
      <w:tr w:rsidR="004F5313" w14:paraId="3D4594BD" w14:textId="77777777" w:rsidTr="0038670A">
        <w:tc>
          <w:tcPr>
            <w:tcW w:w="1843" w:type="dxa"/>
            <w:shd w:val="clear" w:color="auto" w:fill="auto"/>
            <w:vAlign w:val="center"/>
          </w:tcPr>
          <w:p w14:paraId="4C269DA6" w14:textId="77777777" w:rsidR="004F5313" w:rsidRPr="00A21DFD" w:rsidRDefault="004F5313" w:rsidP="0038670A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A21DFD">
              <w:rPr>
                <w:b/>
              </w:rPr>
              <w:t>Stupeň priority závady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7AD129" w14:textId="77777777" w:rsidR="004F5313" w:rsidRPr="00A21DFD" w:rsidRDefault="004F5313" w:rsidP="0038670A">
            <w:pPr>
              <w:spacing w:before="120" w:after="120" w:line="240" w:lineRule="exact"/>
              <w:jc w:val="center"/>
              <w:rPr>
                <w:b/>
              </w:rPr>
            </w:pPr>
            <w:r w:rsidRPr="00A21DFD">
              <w:rPr>
                <w:b/>
              </w:rPr>
              <w:t>Popis závady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B6BBEF" w14:textId="77777777" w:rsidR="004F5313" w:rsidRPr="00A21DFD" w:rsidRDefault="004F5313" w:rsidP="0038670A">
            <w:pPr>
              <w:spacing w:before="120" w:after="120" w:line="240" w:lineRule="exact"/>
              <w:jc w:val="center"/>
              <w:rPr>
                <w:b/>
              </w:rPr>
            </w:pPr>
            <w:r w:rsidRPr="00A21DFD">
              <w:rPr>
                <w:b/>
              </w:rPr>
              <w:t>Reakční doba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46F7B" w14:textId="77777777" w:rsidR="004F5313" w:rsidRPr="00A21DFD" w:rsidRDefault="004F5313" w:rsidP="0038670A">
            <w:pPr>
              <w:spacing w:before="120" w:after="120" w:line="240" w:lineRule="exact"/>
              <w:jc w:val="center"/>
              <w:rPr>
                <w:b/>
              </w:rPr>
            </w:pPr>
            <w:r w:rsidRPr="00A21DFD">
              <w:rPr>
                <w:b/>
              </w:rPr>
              <w:t>Doba odstranění</w:t>
            </w:r>
          </w:p>
        </w:tc>
      </w:tr>
      <w:tr w:rsidR="004F5313" w14:paraId="6861B65F" w14:textId="77777777" w:rsidTr="0038670A">
        <w:tc>
          <w:tcPr>
            <w:tcW w:w="1843" w:type="dxa"/>
            <w:shd w:val="clear" w:color="auto" w:fill="auto"/>
            <w:vAlign w:val="center"/>
          </w:tcPr>
          <w:p w14:paraId="3167FA17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1 - kritická chyba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F21F9D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Kritická závada, systém zcela nefunkční,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B3D360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 xml:space="preserve">Potvrzení přijetí požadavku včetně stanovení předpokládané doby vyřešení incidentu do </w:t>
            </w:r>
            <w:r>
              <w:rPr>
                <w:b/>
              </w:rPr>
              <w:t>4</w:t>
            </w:r>
            <w:r w:rsidRPr="00A21DFD">
              <w:rPr>
                <w:b/>
              </w:rPr>
              <w:t xml:space="preserve"> hodin</w:t>
            </w:r>
            <w:r w:rsidRPr="00A21DFD"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C10821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Maximálně 36 hodin od nahlášení požadavku</w:t>
            </w:r>
          </w:p>
        </w:tc>
      </w:tr>
      <w:tr w:rsidR="004F5313" w14:paraId="6B8C0316" w14:textId="77777777" w:rsidTr="0038670A">
        <w:tc>
          <w:tcPr>
            <w:tcW w:w="1843" w:type="dxa"/>
            <w:shd w:val="clear" w:color="auto" w:fill="auto"/>
            <w:vAlign w:val="center"/>
          </w:tcPr>
          <w:p w14:paraId="079E594B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2 - vážná chyba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D4529C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Vážná závada, systém částečně použitelný, systém umožňuje klíčové funkce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7205A2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rPr>
                <w:rFonts w:cs="Arial"/>
              </w:rPr>
              <w:t xml:space="preserve">Potvrzení přijetí požadavku včetně stanovení předpokládané doby vyřešení incidentu do </w:t>
            </w:r>
            <w:r w:rsidRPr="00A21DFD">
              <w:rPr>
                <w:rFonts w:cs="Arial"/>
                <w:b/>
              </w:rPr>
              <w:t>12 hodin</w:t>
            </w:r>
            <w:r w:rsidRPr="00A21DFD">
              <w:rPr>
                <w:rFonts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4F0552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Maximálně 3 dny od nahlášení požadavku</w:t>
            </w:r>
          </w:p>
        </w:tc>
      </w:tr>
      <w:tr w:rsidR="004F5313" w14:paraId="62ACD53D" w14:textId="77777777" w:rsidTr="0038670A">
        <w:tc>
          <w:tcPr>
            <w:tcW w:w="1843" w:type="dxa"/>
            <w:shd w:val="clear" w:color="auto" w:fill="auto"/>
            <w:vAlign w:val="center"/>
          </w:tcPr>
          <w:p w14:paraId="755F5D33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3 - chyba neovlivňující klíčové vlastnosti systému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875141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Závada umožňující práci s pomocí náhradního pracovního postupu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4521D2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rPr>
                <w:rFonts w:cs="Arial"/>
              </w:rPr>
              <w:t xml:space="preserve">Potvrzení přijetí požadavku včetně stanovení předpokládané doby vyřešení incidentu do </w:t>
            </w:r>
            <w:r w:rsidRPr="00A21DFD">
              <w:rPr>
                <w:rFonts w:cs="Arial"/>
                <w:b/>
              </w:rPr>
              <w:t>2 pracovních dnů</w:t>
            </w:r>
            <w:r w:rsidRPr="00A21DFD">
              <w:rPr>
                <w:rFonts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2F751E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Maximálně 10 dnů od nahlášení požadavku</w:t>
            </w:r>
          </w:p>
        </w:tc>
      </w:tr>
      <w:tr w:rsidR="004F5313" w14:paraId="2AC6A698" w14:textId="77777777" w:rsidTr="0038670A">
        <w:tc>
          <w:tcPr>
            <w:tcW w:w="1843" w:type="dxa"/>
            <w:shd w:val="clear" w:color="auto" w:fill="auto"/>
            <w:vAlign w:val="center"/>
          </w:tcPr>
          <w:p w14:paraId="1B7D8118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4 - drobná chyba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CE39D4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Drobná závada neovlivňující činnost systému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A8D5820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rPr>
                <w:rFonts w:cs="Arial"/>
              </w:rPr>
              <w:t xml:space="preserve">Potvrzení přijetí požadavku včetně stanovení předpokládané doby vyřešení incidentu do </w:t>
            </w:r>
            <w:r w:rsidRPr="00A21DFD">
              <w:rPr>
                <w:rFonts w:cs="Arial"/>
                <w:b/>
              </w:rPr>
              <w:t>5 pracovních dnů</w:t>
            </w:r>
            <w:r w:rsidRPr="00A21DFD">
              <w:rPr>
                <w:rFonts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7AA2DB" w14:textId="77777777" w:rsidR="004F5313" w:rsidRPr="00A21DFD" w:rsidRDefault="004F5313" w:rsidP="0038670A">
            <w:pPr>
              <w:spacing w:before="120" w:after="120" w:line="240" w:lineRule="exact"/>
              <w:jc w:val="center"/>
            </w:pPr>
            <w:r w:rsidRPr="00A21DFD">
              <w:t>Maximálně 40 dnů od nahlášení požadavku</w:t>
            </w:r>
          </w:p>
        </w:tc>
      </w:tr>
    </w:tbl>
    <w:p w14:paraId="21F1D296" w14:textId="77777777" w:rsidR="004F5313" w:rsidRDefault="004F5313" w:rsidP="004F531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55289544" w14:textId="77777777" w:rsidR="004F5313" w:rsidRDefault="004F5313" w:rsidP="004F531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t xml:space="preserve">  </w:t>
      </w:r>
    </w:p>
    <w:p w14:paraId="10F32434" w14:textId="77777777" w:rsidR="004F5313" w:rsidRDefault="004F5313" w:rsidP="004F531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  <w:r>
        <w:lastRenderedPageBreak/>
        <w:t xml:space="preserve">Podpora zahrnuje rovněž údržbu systému a bezúplatné poskytování aktualizací příslušného sw či jeho upgrade, jsou-li tyto zapotřebí k řádnému fungování systému. Dále podpora zahrnuje poradenskou činnost a provádění servisních zásahů, jež budou potřebné k odstranění závady systému. </w:t>
      </w:r>
    </w:p>
    <w:p w14:paraId="279C5E43" w14:textId="278B6F07" w:rsidR="004F5313" w:rsidRPr="00FB2F7B" w:rsidRDefault="004F5313" w:rsidP="00850DA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  <w:r>
        <w:t xml:space="preserve">V případě nutnosti provedení servisního zásahu, bude konkrétní způsob provedení servisního zásahu zvolen </w:t>
      </w:r>
      <w:r w:rsidR="00850DAB">
        <w:t>dodavatelem</w:t>
      </w:r>
      <w:r>
        <w:t xml:space="preserve">, a to dle charakteru konkrétní závady. Dle charakteru závady bude </w:t>
      </w:r>
      <w:r w:rsidR="00850DAB">
        <w:t>dodavatel</w:t>
      </w:r>
      <w:r>
        <w:t xml:space="preserve"> provádět servisní zásahy buď osobně v místě výskytu závady, telefonicky nebo pomocí vzdáleného přístupu, případně kombinací uvedených způsobů tak, aby byla závada odstraněna co nejdříve, nejpozději však v rámci příslušné lhůty dle výše uvedené tabulky. Po odstranění závady je </w:t>
      </w:r>
      <w:r w:rsidR="00850DAB">
        <w:t>dodavatel</w:t>
      </w:r>
      <w:r>
        <w:t xml:space="preserve"> povinen provést zkoušku funkčnosti systému, která prověří, zda byla závada úspěšně odstraněna. Po úspěšném provedení zkoušky smluvní strany sepíší v případě, že k odstraňování závady byl proveden servisním zásah, protokol o poskytnutí </w:t>
      </w:r>
      <w:r w:rsidR="00850DAB">
        <w:t>služeb</w:t>
      </w:r>
      <w:r>
        <w:t>.</w:t>
      </w:r>
    </w:p>
    <w:p w14:paraId="32593FC0" w14:textId="7B79E0BB" w:rsidR="004C2938" w:rsidRPr="00207A7E" w:rsidRDefault="004C2938" w:rsidP="00CC73DE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left" w:pos="0"/>
        </w:tabs>
        <w:jc w:val="both"/>
      </w:pPr>
      <w:bookmarkStart w:id="0" w:name="_GoBack"/>
      <w:bookmarkEnd w:id="0"/>
      <w:r>
        <w:t>Zadavatel</w:t>
      </w:r>
      <w:r w:rsidRPr="00207A7E">
        <w:t xml:space="preserve"> je v případě prodlení poskytovatele s provedením opravy oprávněn opravit zařízení sám prostřednictvím výrobce </w:t>
      </w:r>
      <w:r w:rsidR="00280986" w:rsidRPr="00207A7E">
        <w:t xml:space="preserve">zařízení </w:t>
      </w:r>
      <w:r w:rsidRPr="00207A7E">
        <w:t>či jiné odborně způsobilé osoby na náklady poskytovatele.</w:t>
      </w:r>
    </w:p>
    <w:p w14:paraId="24EF7C4C" w14:textId="77777777" w:rsidR="004C2938" w:rsidRDefault="004C2938" w:rsidP="004C2938">
      <w:pPr>
        <w:spacing w:before="240" w:after="160" w:line="25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požaduje </w:t>
      </w:r>
      <w:r w:rsidRPr="00CC73DE">
        <w:rPr>
          <w:rFonts w:cs="Arial"/>
          <w:b/>
          <w:szCs w:val="20"/>
        </w:rPr>
        <w:t>support výrobce</w:t>
      </w:r>
      <w:r>
        <w:rPr>
          <w:rFonts w:cs="Arial"/>
          <w:szCs w:val="20"/>
        </w:rPr>
        <w:t>, který zahrnuje:</w:t>
      </w:r>
    </w:p>
    <w:p w14:paraId="12803765" w14:textId="1DF242B9" w:rsidR="004C2938" w:rsidRPr="007B7EDB" w:rsidRDefault="004C2938" w:rsidP="004C2938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Poskytnutí telefonního a e-mailového kontaktu na </w:t>
      </w:r>
      <w:proofErr w:type="spellStart"/>
      <w:r w:rsidRPr="007B7EDB">
        <w:rPr>
          <w:rFonts w:cs="Arial"/>
        </w:rPr>
        <w:t>Service</w:t>
      </w:r>
      <w:proofErr w:type="spellEnd"/>
      <w:r w:rsidRPr="007B7EDB">
        <w:rPr>
          <w:rFonts w:cs="Arial"/>
        </w:rPr>
        <w:t xml:space="preserve"> </w:t>
      </w:r>
      <w:proofErr w:type="spellStart"/>
      <w:r w:rsidRPr="007B7EDB">
        <w:rPr>
          <w:rFonts w:cs="Arial"/>
        </w:rPr>
        <w:t>Desk</w:t>
      </w:r>
      <w:proofErr w:type="spellEnd"/>
      <w:r w:rsidRPr="007B7EDB">
        <w:rPr>
          <w:rFonts w:cs="Arial"/>
        </w:rPr>
        <w:t xml:space="preserve"> pro zadávání a sledování stavu incidentů a servisních požadavků v režimu 365/24/7. Tento </w:t>
      </w:r>
      <w:proofErr w:type="spellStart"/>
      <w:r w:rsidRPr="007B7EDB">
        <w:rPr>
          <w:rFonts w:cs="Arial"/>
        </w:rPr>
        <w:t>Service</w:t>
      </w:r>
      <w:proofErr w:type="spellEnd"/>
      <w:r w:rsidRPr="007B7EDB">
        <w:rPr>
          <w:rFonts w:cs="Arial"/>
        </w:rPr>
        <w:t xml:space="preserve"> </w:t>
      </w:r>
      <w:proofErr w:type="spellStart"/>
      <w:r w:rsidRPr="007B7EDB">
        <w:rPr>
          <w:rFonts w:cs="Arial"/>
        </w:rPr>
        <w:t>Desk</w:t>
      </w:r>
      <w:proofErr w:type="spellEnd"/>
      <w:r w:rsidRPr="007B7EDB">
        <w:rPr>
          <w:rFonts w:cs="Arial"/>
        </w:rPr>
        <w:t xml:space="preserve"> bude přístupný pro neomezený počet oprávněných uživatelů na straně </w:t>
      </w:r>
      <w:r w:rsidR="00225D75">
        <w:rPr>
          <w:rFonts w:cs="Arial"/>
        </w:rPr>
        <w:t>zadavatele</w:t>
      </w:r>
      <w:r w:rsidR="00225D75" w:rsidRPr="007B7EDB">
        <w:rPr>
          <w:rFonts w:cs="Arial"/>
        </w:rPr>
        <w:t xml:space="preserve"> </w:t>
      </w:r>
      <w:r w:rsidRPr="007B7EDB">
        <w:rPr>
          <w:rFonts w:cs="Arial"/>
        </w:rPr>
        <w:t xml:space="preserve">a jeho servisní organizace. </w:t>
      </w:r>
    </w:p>
    <w:p w14:paraId="5BD9D19E" w14:textId="71F67464" w:rsidR="004C2938" w:rsidRPr="007B7EDB" w:rsidRDefault="004C2938" w:rsidP="004C2938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Přímý přístup </w:t>
      </w:r>
      <w:r w:rsidR="00225D75">
        <w:rPr>
          <w:rFonts w:cs="Arial"/>
        </w:rPr>
        <w:t>zadavatele</w:t>
      </w:r>
      <w:r w:rsidR="00225D75" w:rsidRPr="007B7EDB">
        <w:rPr>
          <w:rFonts w:cs="Arial"/>
        </w:rPr>
        <w:t xml:space="preserve"> </w:t>
      </w:r>
      <w:r w:rsidRPr="007B7EDB">
        <w:rPr>
          <w:rFonts w:cs="Arial"/>
        </w:rPr>
        <w:t xml:space="preserve">k softwaru výrobce (bug fix </w:t>
      </w:r>
      <w:proofErr w:type="spellStart"/>
      <w:r w:rsidRPr="007B7EDB">
        <w:rPr>
          <w:rFonts w:cs="Arial"/>
        </w:rPr>
        <w:t>releases</w:t>
      </w:r>
      <w:proofErr w:type="spellEnd"/>
      <w:r w:rsidRPr="007B7EDB">
        <w:rPr>
          <w:rFonts w:cs="Arial"/>
        </w:rPr>
        <w:t xml:space="preserve">, minor </w:t>
      </w:r>
      <w:proofErr w:type="spellStart"/>
      <w:r w:rsidRPr="007B7EDB">
        <w:rPr>
          <w:rFonts w:cs="Arial"/>
        </w:rPr>
        <w:t>updates</w:t>
      </w:r>
      <w:proofErr w:type="spellEnd"/>
      <w:r w:rsidRPr="007B7EDB">
        <w:rPr>
          <w:rFonts w:cs="Arial"/>
        </w:rPr>
        <w:t>) v rozsahu relevantním k souboru zařízení pokrytému servisní službou s výjimkou zařízení, u nichž výrobce ukončil podporu.</w:t>
      </w:r>
    </w:p>
    <w:p w14:paraId="4E4B6F84" w14:textId="3B640B42" w:rsidR="004C2938" w:rsidRPr="007B7EDB" w:rsidRDefault="00CC73DE" w:rsidP="004C2938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bookmarkStart w:id="1" w:name="_Hlk205292177"/>
      <w:r>
        <w:rPr>
          <w:rFonts w:cs="Arial"/>
        </w:rPr>
        <w:t>N</w:t>
      </w:r>
      <w:r w:rsidRPr="007B7EDB">
        <w:rPr>
          <w:rFonts w:cs="Arial"/>
        </w:rPr>
        <w:t xml:space="preserve">ejpozději do 1 měsíce od účinnosti </w:t>
      </w:r>
      <w:r>
        <w:rPr>
          <w:rFonts w:cs="Arial"/>
        </w:rPr>
        <w:t>s</w:t>
      </w:r>
      <w:r w:rsidRPr="007B7EDB">
        <w:rPr>
          <w:rFonts w:cs="Arial"/>
        </w:rPr>
        <w:t xml:space="preserve">mlouvy </w:t>
      </w:r>
      <w:r>
        <w:rPr>
          <w:rFonts w:cs="Arial"/>
        </w:rPr>
        <w:t xml:space="preserve">je dodavatel povinen zadavateli předložit </w:t>
      </w:r>
      <w:r w:rsidRPr="007B7EDB">
        <w:rPr>
          <w:rFonts w:cs="Arial"/>
        </w:rPr>
        <w:t xml:space="preserve">potvrzení výrobce zařízení Cisco o zakoupení podpory Software Cisco na </w:t>
      </w:r>
      <w:r>
        <w:rPr>
          <w:rFonts w:cs="Arial"/>
        </w:rPr>
        <w:t>celou dobu</w:t>
      </w:r>
      <w:r w:rsidRPr="007B7EDB">
        <w:rPr>
          <w:rFonts w:cs="Arial"/>
        </w:rPr>
        <w:t xml:space="preserve"> plnění dle </w:t>
      </w:r>
      <w:r>
        <w:rPr>
          <w:rFonts w:cs="Arial"/>
        </w:rPr>
        <w:t>této smlouvy</w:t>
      </w:r>
      <w:r w:rsidRPr="007B7EDB">
        <w:rPr>
          <w:rFonts w:cs="Arial"/>
        </w:rPr>
        <w:t xml:space="preserve">, a to s detailním soupisem zařízení s uvedením </w:t>
      </w:r>
      <w:r>
        <w:rPr>
          <w:rFonts w:cs="Arial"/>
        </w:rPr>
        <w:t xml:space="preserve">jejich </w:t>
      </w:r>
      <w:r w:rsidRPr="007B7EDB">
        <w:rPr>
          <w:rFonts w:cs="Arial"/>
        </w:rPr>
        <w:t xml:space="preserve">konkrétních </w:t>
      </w:r>
      <w:r>
        <w:rPr>
          <w:rFonts w:cs="Arial"/>
        </w:rPr>
        <w:t>„</w:t>
      </w:r>
      <w:r w:rsidRPr="007B7EDB">
        <w:rPr>
          <w:rFonts w:cs="Arial"/>
        </w:rPr>
        <w:t xml:space="preserve">instance </w:t>
      </w:r>
      <w:proofErr w:type="spellStart"/>
      <w:r w:rsidRPr="007B7EDB">
        <w:rPr>
          <w:rFonts w:cs="Arial"/>
        </w:rPr>
        <w:t>number</w:t>
      </w:r>
      <w:proofErr w:type="spellEnd"/>
      <w:r>
        <w:rPr>
          <w:rFonts w:cs="Arial"/>
        </w:rPr>
        <w:t xml:space="preserve">“, </w:t>
      </w:r>
      <w:bookmarkEnd w:id="1"/>
      <w:r w:rsidR="004C2938" w:rsidRPr="007B7EDB">
        <w:rPr>
          <w:rFonts w:cs="Arial"/>
        </w:rPr>
        <w:t>z něhož bude vyplývat:</w:t>
      </w:r>
    </w:p>
    <w:p w14:paraId="3F0201FB" w14:textId="5039AD19" w:rsidR="004C2938" w:rsidRPr="007B7EDB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garance přímého přístupu </w:t>
      </w:r>
      <w:r w:rsidR="0038293C">
        <w:rPr>
          <w:rFonts w:cs="Arial"/>
        </w:rPr>
        <w:t>zadavatele</w:t>
      </w:r>
      <w:r w:rsidR="0038293C" w:rsidRPr="007B7EDB">
        <w:rPr>
          <w:rFonts w:cs="Arial"/>
        </w:rPr>
        <w:t xml:space="preserve"> </w:t>
      </w:r>
      <w:r w:rsidRPr="007B7EDB">
        <w:rPr>
          <w:rFonts w:cs="Arial"/>
        </w:rPr>
        <w:t xml:space="preserve">a jeho servisní organizace k softwaru výrobce (bug fix </w:t>
      </w:r>
      <w:proofErr w:type="spellStart"/>
      <w:r w:rsidRPr="007B7EDB">
        <w:rPr>
          <w:rFonts w:cs="Arial"/>
        </w:rPr>
        <w:t>releases</w:t>
      </w:r>
      <w:proofErr w:type="spellEnd"/>
      <w:r w:rsidRPr="007B7EDB">
        <w:rPr>
          <w:rFonts w:cs="Arial"/>
        </w:rPr>
        <w:t xml:space="preserve">, minor </w:t>
      </w:r>
      <w:proofErr w:type="spellStart"/>
      <w:r w:rsidRPr="007B7EDB">
        <w:rPr>
          <w:rFonts w:cs="Arial"/>
        </w:rPr>
        <w:t>updates</w:t>
      </w:r>
      <w:proofErr w:type="spellEnd"/>
      <w:r w:rsidRPr="007B7EDB">
        <w:rPr>
          <w:rFonts w:cs="Arial"/>
        </w:rPr>
        <w:t>);</w:t>
      </w:r>
    </w:p>
    <w:p w14:paraId="4B12CAA8" w14:textId="77777777" w:rsidR="004C2938" w:rsidRPr="007B7EDB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poskytování servisní podpory ve spolupráci s výrobcem v rámci nabídnutých odezev;</w:t>
      </w:r>
    </w:p>
    <w:p w14:paraId="2AF56C05" w14:textId="77777777" w:rsidR="004C2938" w:rsidRPr="007B7EDB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zabezpečení servisní podpory přímo výrobcem zařízení;</w:t>
      </w:r>
    </w:p>
    <w:p w14:paraId="243DBF41" w14:textId="49F905A4" w:rsidR="004C2938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garance přímého přístupu </w:t>
      </w:r>
      <w:r w:rsidR="0038293C">
        <w:rPr>
          <w:rFonts w:cs="Arial"/>
        </w:rPr>
        <w:t>zadavatele</w:t>
      </w:r>
      <w:r w:rsidR="0038293C" w:rsidRPr="007B7EDB">
        <w:rPr>
          <w:rFonts w:cs="Arial"/>
        </w:rPr>
        <w:t xml:space="preserve"> </w:t>
      </w:r>
      <w:r w:rsidRPr="007B7EDB">
        <w:rPr>
          <w:rFonts w:cs="Arial"/>
        </w:rPr>
        <w:t>a jeho servisní organizace na TAC (</w:t>
      </w:r>
      <w:proofErr w:type="spellStart"/>
      <w:r w:rsidRPr="007B7EDB">
        <w:rPr>
          <w:rFonts w:cs="Arial"/>
        </w:rPr>
        <w:t>Technical</w:t>
      </w:r>
      <w:proofErr w:type="spellEnd"/>
      <w:r w:rsidRPr="007B7EDB">
        <w:rPr>
          <w:rFonts w:cs="Arial"/>
        </w:rPr>
        <w:t xml:space="preserve"> </w:t>
      </w:r>
      <w:proofErr w:type="spellStart"/>
      <w:r w:rsidRPr="007B7EDB">
        <w:rPr>
          <w:rFonts w:cs="Arial"/>
        </w:rPr>
        <w:t>Assistance</w:t>
      </w:r>
      <w:proofErr w:type="spellEnd"/>
      <w:r w:rsidRPr="007B7EDB">
        <w:rPr>
          <w:rFonts w:cs="Arial"/>
        </w:rPr>
        <w:t xml:space="preserve"> Center) </w:t>
      </w:r>
      <w:proofErr w:type="spellStart"/>
      <w:r w:rsidRPr="007B7EDB">
        <w:rPr>
          <w:rFonts w:cs="Arial"/>
        </w:rPr>
        <w:t>supportního</w:t>
      </w:r>
      <w:proofErr w:type="spellEnd"/>
      <w:r w:rsidRPr="007B7EDB">
        <w:rPr>
          <w:rFonts w:cs="Arial"/>
        </w:rPr>
        <w:t xml:space="preserve"> centra výrobce zařízení v případě nespokojenosti </w:t>
      </w:r>
      <w:r w:rsidR="0038293C">
        <w:rPr>
          <w:rFonts w:cs="Arial"/>
        </w:rPr>
        <w:t>zadavatel</w:t>
      </w:r>
      <w:r w:rsidR="0038293C" w:rsidRPr="007B7EDB">
        <w:rPr>
          <w:rFonts w:cs="Arial"/>
        </w:rPr>
        <w:t xml:space="preserve">e </w:t>
      </w:r>
      <w:r w:rsidRPr="007B7EDB">
        <w:rPr>
          <w:rFonts w:cs="Arial"/>
        </w:rPr>
        <w:t xml:space="preserve">s postupem </w:t>
      </w:r>
      <w:r w:rsidR="0038293C">
        <w:rPr>
          <w:rFonts w:cs="Arial"/>
        </w:rPr>
        <w:t>dodavatele</w:t>
      </w:r>
      <w:r w:rsidRPr="007B7EDB">
        <w:rPr>
          <w:rFonts w:cs="Arial"/>
        </w:rPr>
        <w:t>.</w:t>
      </w:r>
    </w:p>
    <w:p w14:paraId="6FDEE65E" w14:textId="77777777" w:rsidR="00280986" w:rsidRDefault="00280986">
      <w:pPr>
        <w:rPr>
          <w:rFonts w:cs="Arial"/>
        </w:rPr>
      </w:pPr>
    </w:p>
    <w:p w14:paraId="5538A879" w14:textId="68F29A42" w:rsidR="00510BD4" w:rsidRDefault="00280986" w:rsidP="00CC73DE">
      <w:pPr>
        <w:jc w:val="both"/>
      </w:pPr>
      <w:r>
        <w:rPr>
          <w:rFonts w:cs="Arial"/>
        </w:rPr>
        <w:t>Dodavatel</w:t>
      </w:r>
      <w:r w:rsidRPr="009B58CE">
        <w:rPr>
          <w:rFonts w:cs="Arial"/>
        </w:rPr>
        <w:t xml:space="preserve"> </w:t>
      </w:r>
      <w:r w:rsidR="004C2938" w:rsidRPr="009B58CE">
        <w:rPr>
          <w:rFonts w:cs="Arial"/>
        </w:rPr>
        <w:t xml:space="preserve">také, </w:t>
      </w:r>
      <w:r w:rsidR="00CC73DE">
        <w:rPr>
          <w:rFonts w:cs="Arial"/>
        </w:rPr>
        <w:t>3</w:t>
      </w:r>
      <w:r w:rsidR="00CC73DE" w:rsidRPr="009B58CE">
        <w:rPr>
          <w:rFonts w:cs="Arial"/>
        </w:rPr>
        <w:t xml:space="preserve"> </w:t>
      </w:r>
      <w:r w:rsidR="004C2938" w:rsidRPr="009B58CE">
        <w:rPr>
          <w:rFonts w:cs="Arial"/>
        </w:rPr>
        <w:t>měsíce před skončením období, na které je Software Cisco nakoupen</w:t>
      </w:r>
      <w:r>
        <w:rPr>
          <w:rFonts w:cs="Arial"/>
        </w:rPr>
        <w:t xml:space="preserve"> (tj. tři měsíce před uplynutím účinnosti smlouvy o poskytování služeb)</w:t>
      </w:r>
      <w:r w:rsidR="004C2938" w:rsidRPr="009B58CE">
        <w:rPr>
          <w:rFonts w:cs="Arial"/>
        </w:rPr>
        <w:t>, připraví soupis Software Cisco pro dokoupení na následné období včetně klíčových termínů ukonče</w:t>
      </w:r>
      <w:r w:rsidR="0085731E">
        <w:rPr>
          <w:rFonts w:cs="Arial"/>
        </w:rPr>
        <w:t>ní dostupnosti supportu výrobce.</w:t>
      </w:r>
    </w:p>
    <w:sectPr w:rsidR="00510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55D2A"/>
    <w:multiLevelType w:val="hybridMultilevel"/>
    <w:tmpl w:val="CEF0655A"/>
    <w:lvl w:ilvl="0" w:tplc="2B12AC0C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BE52DF1C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E3B885E4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1B04E498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51C2F2FC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5FD4B75A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A13ACD9C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725CBED8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1F9035CA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71F767CA"/>
    <w:multiLevelType w:val="hybridMultilevel"/>
    <w:tmpl w:val="7B12CD08"/>
    <w:lvl w:ilvl="0" w:tplc="879E4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C2D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24F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A3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A5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86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4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C1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27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2938"/>
    <w:rsid w:val="00047F8E"/>
    <w:rsid w:val="00225D75"/>
    <w:rsid w:val="00280986"/>
    <w:rsid w:val="0038293C"/>
    <w:rsid w:val="004C2938"/>
    <w:rsid w:val="004F5313"/>
    <w:rsid w:val="00502616"/>
    <w:rsid w:val="00510BD4"/>
    <w:rsid w:val="00850DAB"/>
    <w:rsid w:val="0085731E"/>
    <w:rsid w:val="00AB18B7"/>
    <w:rsid w:val="00B23AF3"/>
    <w:rsid w:val="00CC73DE"/>
    <w:rsid w:val="00D017C2"/>
    <w:rsid w:val="00E57950"/>
    <w:rsid w:val="00E9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6E8B"/>
  <w15:docId w15:val="{3B8015B9-6263-4355-A542-5C951E89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4C293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,List Paragraph1,Odstavec s názvem"/>
    <w:basedOn w:val="Normln"/>
    <w:link w:val="OdstavecseseznamemChar"/>
    <w:uiPriority w:val="99"/>
    <w:unhideWhenUsed/>
    <w:qFormat/>
    <w:rsid w:val="004C2938"/>
    <w:pPr>
      <w:ind w:left="624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4C2938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C2938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C2938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C2938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C2938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rsid w:val="004C2938"/>
    <w:pPr>
      <w:numPr>
        <w:numId w:val="1"/>
      </w:numPr>
    </w:pPr>
  </w:style>
  <w:style w:type="character" w:customStyle="1" w:styleId="OdstavecseseznamemChar">
    <w:name w:val="Odstavec se seznamem Char"/>
    <w:aliases w:val="List Paragraph (Czech Radio) Char,List Paragraph1 Char,Odstavec s názvem Char"/>
    <w:basedOn w:val="Standardnpsmoodstavce"/>
    <w:link w:val="Odstavecseseznamem"/>
    <w:uiPriority w:val="99"/>
    <w:qFormat/>
    <w:rsid w:val="004C2938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9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98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25D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5D7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5D7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5D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5D7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778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Havrda Martin</dc:creator>
  <cp:lastModifiedBy>Janíčková Iva</cp:lastModifiedBy>
  <cp:revision>14</cp:revision>
  <dcterms:created xsi:type="dcterms:W3CDTF">2022-08-23T10:47:00Z</dcterms:created>
  <dcterms:modified xsi:type="dcterms:W3CDTF">2025-08-18T07:25:00Z</dcterms:modified>
</cp:coreProperties>
</file>